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160" w:lineRule="auto" w:line="259"/>
        <w:ind w:hanging="260"/>
        <w:jc w:val="center"/>
        <w:rPr/>
      </w:pPr>
      <w:bookmarkStart w:id="0" w:name="_GoBack"/>
      <w:bookmarkEnd w:id="0"/>
      <w:r>
        <w:rPr>
          <w:rFonts w:ascii="Calibri" w:cs="宋体" w:eastAsia="Calibri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GB" w:eastAsia="en-US"/>
        </w:rPr>
        <w:drawing>
          <wp:inline distL="0" distT="0" distB="0" distR="0">
            <wp:extent cx="5237861" cy="391337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37861" cy="39133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Rule="auto" w:line="259"/>
        <w:jc w:val="center"/>
        <w:rPr/>
      </w:pPr>
    </w:p>
    <w:p>
      <w:pPr>
        <w:spacing w:after="160" w:lineRule="auto" w:line="259"/>
        <w:jc w:val="center"/>
        <w:rPr/>
      </w:pPr>
    </w:p>
    <w:p>
      <w:pPr>
        <w:spacing w:after="160" w:lineRule="auto" w:line="259"/>
        <w:jc w:val="center"/>
        <w:rPr/>
      </w:pPr>
      <w:r>
        <w:rPr>
          <w:rFonts w:ascii="Showcard Gothic" w:cs="Tahoma" w:eastAsia="Calibri" w:hAnsi="Showcard Gothic" w:hint="default"/>
          <w:b/>
          <w:bCs/>
          <w:i w:val="false"/>
          <w:iCs w:val="false"/>
          <w:color w:val="auto"/>
          <w:sz w:val="96"/>
          <w:szCs w:val="32"/>
          <w:highlight w:val="none"/>
          <w:vertAlign w:val="baseline"/>
          <w:em w:val="none"/>
          <w:lang w:val="en-GB" w:eastAsia="en-US"/>
        </w:rPr>
        <w:t>PRIMARY</w:t>
      </w:r>
      <w:r>
        <w:rPr>
          <w:rFonts w:ascii="Showcard Gothic" w:cs="Tahoma" w:eastAsia="Calibri" w:hAnsi="Showcard Gothic" w:hint="default"/>
          <w:b/>
          <w:bCs/>
          <w:i w:val="false"/>
          <w:iCs w:val="false"/>
          <w:color w:val="auto"/>
          <w:sz w:val="96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howcard Gothic" w:cs="Tahoma" w:eastAsia="Calibri" w:hAnsi="Showcard Gothic" w:hint="default"/>
          <w:b/>
          <w:bCs/>
          <w:i w:val="false"/>
          <w:iCs w:val="false"/>
          <w:color w:val="auto"/>
          <w:sz w:val="96"/>
          <w:szCs w:val="32"/>
          <w:highlight w:val="none"/>
          <w:vertAlign w:val="baseline"/>
          <w:em w:val="none"/>
          <w:lang w:val="en-GB" w:eastAsia="en-US"/>
        </w:rPr>
        <w:t>1</w:t>
      </w:r>
    </w:p>
    <w:p>
      <w:pPr>
        <w:spacing w:after="160" w:lineRule="auto" w:line="259"/>
        <w:jc w:val="center"/>
        <w:rPr/>
      </w:pPr>
    </w:p>
    <w:p>
      <w:pPr>
        <w:spacing w:after="160" w:lineRule="auto" w:line="259"/>
        <w:jc w:val="center"/>
        <w:rPr/>
      </w:pPr>
    </w:p>
    <w:p>
      <w:pPr>
        <w:spacing w:after="160" w:lineRule="auto" w:line="259"/>
        <w:jc w:val="center"/>
        <w:rPr/>
      </w:pP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THIRD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TERM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SCHEME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OF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LEARNING</w:t>
      </w:r>
    </w:p>
    <w:p>
      <w:pPr>
        <w:spacing w:after="160" w:lineRule="auto" w:line="259"/>
        <w:jc w:val="center"/>
        <w:rPr/>
      </w:pP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ACADEMIC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YEAR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–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202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5/2026</w:t>
      </w:r>
    </w:p>
    <w:p>
      <w:pPr>
        <w:spacing w:after="160" w:lineRule="auto" w:line="259"/>
        <w:jc w:val="center"/>
        <w:rPr/>
      </w:pP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21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perscript"/>
          <w:em w:val="none"/>
          <w:lang w:val="en-GB" w:eastAsia="en-US"/>
        </w:rPr>
        <w:t>ST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APRIL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TO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23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perscript"/>
          <w:em w:val="none"/>
          <w:lang w:val="en-GB" w:eastAsia="en-US"/>
        </w:rPr>
        <w:t>RD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JULY,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Tahoma" w:eastAsia="Calibri" w:hAnsi="Gill Sans M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2026</w:t>
      </w:r>
    </w:p>
    <w:p>
      <w:pPr>
        <w:spacing w:after="160" w:lineRule="auto" w:line="259"/>
        <w:jc w:val="center"/>
        <w:rPr/>
      </w:pPr>
    </w:p>
    <w:p>
      <w:pPr>
        <w:spacing w:after="160" w:lineRule="auto" w:line="259"/>
        <w:jc w:val="left"/>
        <w:rPr/>
      </w:pPr>
      <w:r>
        <w:rPr>
          <w:rFonts w:ascii="Gill Sans MT" w:cs="宋体" w:eastAsia="Calibri" w:hAnsi="Gill Sans M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br w:type="page"/>
      </w:r>
    </w:p>
    <w:p>
      <w:pPr>
        <w:spacing w:after="160" w:lineRule="auto" w:line="259"/>
        <w:jc w:val="center"/>
        <w:rPr/>
      </w:pP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ENGLISH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LANGUAGE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-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THIRD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TERM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SCHEME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OF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LEARNING</w:t>
      </w:r>
    </w:p>
    <w:tbl>
      <w:tblPr>
        <w:tblW w:w="10490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247"/>
        <w:gridCol w:w="3722"/>
        <w:gridCol w:w="3402"/>
      </w:tblGrid>
      <w:tr>
        <w:trPr>
          <w:cantSplit w:val="false"/>
          <w:trHeight w:val="597" w:hRule="atLeast"/>
          <w:tblHeader w:val="false"/>
          <w:jc w:val="left"/>
        </w:trPr>
        <w:tc>
          <w:tcPr>
            <w:tcW w:w="1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32"/>
                <w:highlight w:val="none"/>
                <w:vertAlign w:val="baseline"/>
                <w:em w:val="none"/>
                <w:lang w:val="en-GB" w:eastAsia="en-US"/>
              </w:rPr>
              <w:t>WEEKS</w:t>
            </w:r>
          </w:p>
        </w:tc>
        <w:tc>
          <w:tcPr>
            <w:tcW w:w="224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32"/>
                <w:highlight w:val="none"/>
                <w:vertAlign w:val="baseline"/>
                <w:em w:val="none"/>
                <w:lang w:val="en-GB" w:eastAsia="en-US"/>
              </w:rPr>
              <w:t>STRAND</w:t>
            </w:r>
          </w:p>
        </w:tc>
        <w:tc>
          <w:tcPr>
            <w:tcW w:w="3722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32"/>
                <w:highlight w:val="none"/>
                <w:vertAlign w:val="baseline"/>
                <w:em w:val="none"/>
                <w:lang w:val="en-GB" w:eastAsia="en-US"/>
              </w:rPr>
              <w:t>SUB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3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32"/>
                <w:highlight w:val="none"/>
                <w:vertAlign w:val="baseline"/>
                <w:em w:val="none"/>
                <w:lang w:val="en-GB" w:eastAsia="en-US"/>
              </w:rPr>
              <w:t>STRANDS/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3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32"/>
                <w:highlight w:val="none"/>
                <w:vertAlign w:val="baseline"/>
                <w:em w:val="none"/>
                <w:lang w:val="en-GB" w:eastAsia="en-US"/>
              </w:rPr>
              <w:t>CONT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3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32"/>
                <w:highlight w:val="none"/>
                <w:vertAlign w:val="baseline"/>
                <w:em w:val="none"/>
                <w:lang w:val="en-GB" w:eastAsia="en-US"/>
              </w:rPr>
              <w:t>STANDARD</w:t>
            </w:r>
          </w:p>
        </w:tc>
        <w:tc>
          <w:tcPr>
            <w:tcW w:w="3402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32"/>
                <w:highlight w:val="none"/>
                <w:vertAlign w:val="baseline"/>
                <w:em w:val="none"/>
                <w:lang w:val="en-GB" w:eastAsia="en-US"/>
              </w:rPr>
              <w:t>INDICATORS</w:t>
            </w:r>
          </w:p>
        </w:tc>
      </w:tr>
      <w:tr>
        <w:tblPrEx/>
        <w:trPr>
          <w:cantSplit w:val="false"/>
          <w:trHeight w:val="881" w:hRule="atLeast"/>
          <w:tblHeader w:val="false"/>
          <w:jc w:val="left"/>
        </w:trPr>
        <w:tc>
          <w:tcPr>
            <w:tcW w:w="111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24/4/26</w:t>
            </w:r>
          </w:p>
        </w:tc>
        <w:tc>
          <w:tcPr>
            <w:tcW w:w="224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</w:p>
        </w:tc>
        <w:tc>
          <w:tcPr>
            <w:tcW w:w="372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Asking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Answering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Questions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B1.1.8.1: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asking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answering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questions</w:t>
            </w:r>
          </w:p>
        </w:tc>
        <w:tc>
          <w:tcPr>
            <w:tcW w:w="340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B1.1.8.1.1.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pronunciation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intonation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asking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answering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Yes/No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questions</w:t>
            </w:r>
          </w:p>
        </w:tc>
      </w:tr>
      <w:tr>
        <w:tblPrEx/>
        <w:trPr>
          <w:cantSplit w:val="false"/>
          <w:trHeight w:val="881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Comprehension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7.1: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B1.2.7.1.3.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Retell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level-appropriate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</w:p>
        </w:tc>
      </w:tr>
      <w:tr>
        <w:tblPrEx/>
        <w:trPr>
          <w:cantSplit w:val="false"/>
          <w:trHeight w:val="881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B1.4.5.1: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B1.4.5.1.3.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basic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descriptive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</w:t>
            </w:r>
          </w:p>
        </w:tc>
      </w:tr>
      <w:tr>
        <w:tblPrEx/>
        <w:trPr>
          <w:cantSplit w:val="false"/>
          <w:trHeight w:val="881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Conventions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Usage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B1.5.7.1: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communication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B1.5.7.1.1.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written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indicate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position</w:t>
            </w:r>
          </w:p>
        </w:tc>
      </w:tr>
      <w:tr>
        <w:tblPrEx/>
        <w:trPr>
          <w:cantSplit w:val="false"/>
          <w:trHeight w:val="881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Extensive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Building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Love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Culture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widely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pleasure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learning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literary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–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books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print</w:t>
            </w:r>
          </w:p>
        </w:tc>
      </w:tr>
      <w:tr>
        <w:tblPrEx/>
        <w:trPr>
          <w:cantSplit w:val="false"/>
          <w:trHeight w:val="881" w:hRule="atLeast"/>
          <w:tblHeader w:val="false"/>
          <w:jc w:val="left"/>
        </w:trPr>
        <w:tc>
          <w:tcPr>
            <w:tcW w:w="1119" w:type="dxa"/>
            <w:vMerge w:val="restart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30/4/26</w:t>
            </w:r>
          </w:p>
        </w:tc>
        <w:tc>
          <w:tcPr>
            <w:tcW w:w="2247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</w:p>
        </w:tc>
        <w:tc>
          <w:tcPr>
            <w:tcW w:w="3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Asking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Answering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Questions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B1.1.8.1: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asking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answering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questions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B1.1.8.1.2.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pronunciation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intonation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asking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answering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–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questions</w:t>
            </w:r>
          </w:p>
        </w:tc>
      </w:tr>
      <w:tr>
        <w:tblPrEx/>
        <w:trPr>
          <w:cantSplit w:val="false"/>
          <w:trHeight w:val="899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Comprehension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B1.2.7.2: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skills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techniques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B1.2.7.2.1.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purpose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features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narrative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</w:p>
        </w:tc>
      </w:tr>
      <w:tr>
        <w:tblPrEx/>
        <w:trPr>
          <w:cantSplit w:val="false"/>
          <w:trHeight w:val="791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B1.4.5.1: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B1.4.5.1.3.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basic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descriptive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</w:t>
            </w:r>
          </w:p>
        </w:tc>
      </w:tr>
      <w:tr>
        <w:tblPrEx/>
        <w:trPr>
          <w:cantSplit w:val="false"/>
          <w:trHeight w:val="791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Conventions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Usage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B1.5.7.1: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communication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B1.5.7.1.1.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written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indicate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position</w:t>
            </w:r>
          </w:p>
        </w:tc>
      </w:tr>
      <w:tr>
        <w:tblPrEx/>
        <w:trPr>
          <w:cantSplit w:val="false"/>
          <w:trHeight w:val="890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Extensive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Building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Love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Culture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widely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pleasure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learning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literary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–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books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print</w:t>
            </w:r>
          </w:p>
        </w:tc>
      </w:tr>
      <w:tr>
        <w:tblPrEx/>
        <w:trPr>
          <w:cantSplit w:val="false"/>
          <w:trHeight w:val="890" w:hRule="atLeast"/>
          <w:tblHeader w:val="false"/>
          <w:jc w:val="left"/>
        </w:trPr>
        <w:tc>
          <w:tcPr>
            <w:tcW w:w="1119" w:type="dxa"/>
            <w:vMerge w:val="restart"/>
            <w:tcBorders>
              <w:top w:val="sing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8/5/26</w:t>
            </w: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Asking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Answering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Questions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B1.1.8.1: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asking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answering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questions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B1.1.8.1.2.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pronunciation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intonation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asking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answering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–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questions</w:t>
            </w:r>
          </w:p>
        </w:tc>
      </w:tr>
      <w:tr>
        <w:tblPrEx/>
        <w:trPr>
          <w:cantSplit w:val="false"/>
          <w:trHeight w:val="890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sing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Comprehension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B1.2.7.2: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skills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techniques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B1.2.7.2.2.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Describe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characters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their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actions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story</w:t>
            </w:r>
          </w:p>
        </w:tc>
      </w:tr>
      <w:tr>
        <w:tblPrEx/>
        <w:trPr>
          <w:cantSplit w:val="false"/>
          <w:trHeight w:val="890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sing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Controlled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B1.4.7.1:Write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compositions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B1.4.7.1.1.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Find,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copy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given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substitution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tables</w:t>
            </w:r>
          </w:p>
        </w:tc>
      </w:tr>
      <w:tr>
        <w:tblPrEx/>
        <w:trPr>
          <w:cantSplit w:val="false"/>
          <w:trHeight w:val="890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sing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Conventions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Usage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B1.5.7.1: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communication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B1.5.7.1.1.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written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indicate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position</w:t>
            </w:r>
          </w:p>
        </w:tc>
      </w:tr>
      <w:tr>
        <w:tblPrEx/>
        <w:trPr>
          <w:cantSplit w:val="false"/>
          <w:trHeight w:val="890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sing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Extensive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Building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Love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Culture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widely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pleasure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learning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literary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–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books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print</w:t>
            </w:r>
          </w:p>
        </w:tc>
      </w:tr>
      <w:tr>
        <w:tblPrEx/>
        <w:trPr>
          <w:cantSplit w:val="false"/>
          <w:trHeight w:val="750" w:hRule="atLeast"/>
          <w:tblHeader w:val="false"/>
          <w:jc w:val="left"/>
        </w:trPr>
        <w:tc>
          <w:tcPr>
            <w:tcW w:w="1119" w:type="dxa"/>
            <w:vMerge w:val="restart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4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15/5/26</w:t>
            </w:r>
          </w:p>
        </w:tc>
        <w:tc>
          <w:tcPr>
            <w:tcW w:w="2247" w:type="dxa"/>
            <w:tcBorders>
              <w:top w:val="thinThickSmallGap" w:sz="12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</w:p>
        </w:tc>
        <w:tc>
          <w:tcPr>
            <w:tcW w:w="372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Giving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following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Commands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B1.1.9.1: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commands,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instructions,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directions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requests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B1.1.9.1.1.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respond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commands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instructions</w:t>
            </w:r>
          </w:p>
        </w:tc>
      </w:tr>
      <w:tr>
        <w:tblPrEx/>
        <w:trPr>
          <w:cantSplit w:val="false"/>
          <w:trHeight w:val="809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Comprehension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B1.2.7.2: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skills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techniques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B1.2.7.2.3.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Connect,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ideas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information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stories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experiences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world</w:t>
            </w:r>
          </w:p>
        </w:tc>
      </w:tr>
      <w:tr>
        <w:tblPrEx/>
        <w:trPr>
          <w:cantSplit w:val="false"/>
          <w:trHeight w:val="809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Controlled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B1.4.7.1:Write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compositions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B1.4.7.1.1.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Find,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copy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given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substitution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tables</w:t>
            </w:r>
          </w:p>
        </w:tc>
      </w:tr>
      <w:tr>
        <w:tblPrEx/>
        <w:trPr>
          <w:cantSplit w:val="false"/>
          <w:trHeight w:val="782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Conventions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Usage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B1.5.7.1: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communication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B1.5.7.1.1.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written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indicate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position</w:t>
            </w:r>
          </w:p>
        </w:tc>
      </w:tr>
      <w:tr>
        <w:tblPrEx/>
        <w:trPr>
          <w:cantSplit w:val="false"/>
          <w:trHeight w:val="809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Extensive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Building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Love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Culture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widely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pleasure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learning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literary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–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books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print</w:t>
            </w:r>
          </w:p>
        </w:tc>
      </w:tr>
      <w:tr>
        <w:tblPrEx/>
        <w:trPr>
          <w:cantSplit w:val="false"/>
          <w:trHeight w:val="806" w:hRule="atLeast"/>
          <w:tblHeader w:val="false"/>
          <w:jc w:val="left"/>
        </w:trPr>
        <w:tc>
          <w:tcPr>
            <w:tcW w:w="1119" w:type="dxa"/>
            <w:vMerge w:val="restart"/>
            <w:tcBorders>
              <w:top w:val="doub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22/5/26</w:t>
            </w:r>
          </w:p>
        </w:tc>
        <w:tc>
          <w:tcPr>
            <w:tcW w:w="2247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</w:p>
        </w:tc>
        <w:tc>
          <w:tcPr>
            <w:tcW w:w="372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Giving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following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Commands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B1.1.9.1: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commands,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instructions,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directions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requests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B1.1.9.1.1.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respond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commands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instructions</w:t>
            </w:r>
          </w:p>
        </w:tc>
      </w:tr>
      <w:tr>
        <w:tblPrEx/>
        <w:trPr>
          <w:cantSplit w:val="false"/>
          <w:trHeight w:val="806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doub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Comprehension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B1.2.7.2: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skills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techniques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B1.2.7.2.4.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level-appropriate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with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prompting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support</w:t>
            </w:r>
          </w:p>
        </w:tc>
      </w:tr>
      <w:tr>
        <w:tblPrEx/>
        <w:trPr>
          <w:cantSplit w:val="false"/>
          <w:trHeight w:val="806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doub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Controlled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B1.4.7.1:Write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compositions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B1.4.7.1.2.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composition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substitution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table</w:t>
            </w:r>
          </w:p>
        </w:tc>
      </w:tr>
      <w:tr>
        <w:tblPrEx/>
        <w:trPr>
          <w:cantSplit w:val="false"/>
          <w:trHeight w:val="806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doub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Conventions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Usage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B1.5.7.1: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communication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B1.5.7.1.1.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prepositions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written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indicate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position</w:t>
            </w:r>
          </w:p>
        </w:tc>
      </w:tr>
      <w:tr>
        <w:tblPrEx/>
        <w:trPr>
          <w:cantSplit w:val="false"/>
          <w:trHeight w:val="806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doub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Extensive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Building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Love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Culture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widely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pleasure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learning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literary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–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books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print</w:t>
            </w:r>
          </w:p>
        </w:tc>
      </w:tr>
      <w:tr>
        <w:tblPrEx/>
        <w:trPr>
          <w:cantSplit w:val="false"/>
          <w:trHeight w:val="750" w:hRule="atLeast"/>
          <w:tblHeader w:val="false"/>
          <w:jc w:val="left"/>
        </w:trPr>
        <w:tc>
          <w:tcPr>
            <w:tcW w:w="1119" w:type="dxa"/>
            <w:vMerge w:val="restart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6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29/5/26</w:t>
            </w:r>
          </w:p>
        </w:tc>
        <w:tc>
          <w:tcPr>
            <w:tcW w:w="2247" w:type="dxa"/>
            <w:tcBorders>
              <w:top w:val="thinThickSmallGap" w:sz="12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</w:p>
        </w:tc>
        <w:tc>
          <w:tcPr>
            <w:tcW w:w="372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Giving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following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Commands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B1.1.9.1: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commands,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instructions,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directions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requests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B1.1.9.1.2.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Make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respond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polite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requests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“Please”</w:t>
            </w:r>
          </w:p>
        </w:tc>
      </w:tr>
      <w:tr>
        <w:tblPrEx/>
        <w:trPr>
          <w:cantSplit w:val="false"/>
          <w:trHeight w:val="791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Comprehension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B1.2.7.2: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skills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techniques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B1.2.7.2.5.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comprehension-strategies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prediction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before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cover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page,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etc</w:t>
            </w:r>
          </w:p>
        </w:tc>
      </w:tr>
      <w:tr>
        <w:tblPrEx/>
        <w:trPr>
          <w:cantSplit w:val="false"/>
          <w:trHeight w:val="800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Controlled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B1.4.7.1:Write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compositions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B1.4.7.1.2.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composition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substitution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table</w:t>
            </w:r>
          </w:p>
        </w:tc>
      </w:tr>
      <w:tr>
        <w:tblPrEx/>
        <w:trPr>
          <w:cantSplit w:val="false"/>
          <w:trHeight w:val="809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Conventions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Usage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B1.5.10.1: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phonics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B1.5.10.1.1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correctly</w:t>
            </w:r>
          </w:p>
        </w:tc>
      </w:tr>
      <w:tr>
        <w:tblPrEx/>
        <w:trPr>
          <w:cantSplit w:val="false"/>
          <w:trHeight w:val="791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Extensive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Building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Love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Culture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widely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pleasure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learning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literary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–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books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print</w:t>
            </w:r>
          </w:p>
        </w:tc>
      </w:tr>
      <w:tr>
        <w:tblPrEx/>
        <w:trPr>
          <w:cantSplit w:val="false"/>
          <w:trHeight w:val="728" w:hRule="atLeast"/>
          <w:tblHeader w:val="false"/>
          <w:jc w:val="left"/>
        </w:trPr>
        <w:tc>
          <w:tcPr>
            <w:tcW w:w="1119" w:type="dxa"/>
            <w:vMerge w:val="restart"/>
            <w:tcBorders>
              <w:top w:val="doub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7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5/6/26</w:t>
            </w:r>
          </w:p>
        </w:tc>
        <w:tc>
          <w:tcPr>
            <w:tcW w:w="2247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</w:p>
        </w:tc>
        <w:tc>
          <w:tcPr>
            <w:tcW w:w="3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Giving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following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Commands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B1.1.9.1: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commands,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instructions,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directions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requests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B1.1.9.1.2.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Make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respond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polite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requests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“Please”</w:t>
            </w:r>
          </w:p>
        </w:tc>
      </w:tr>
      <w:tr>
        <w:tblPrEx/>
        <w:trPr>
          <w:cantSplit w:val="false"/>
          <w:trHeight w:val="692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doub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Comprehension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B1.2.7.2: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skills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techniques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B1.2.7.2.6.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structure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story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e.g.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beginning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part,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middle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end</w:t>
            </w:r>
          </w:p>
        </w:tc>
      </w:tr>
      <w:tr>
        <w:tblPrEx/>
        <w:trPr>
          <w:cantSplit w:val="false"/>
          <w:trHeight w:val="818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doub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Controlled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B1.4.7.1:Write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compositions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B1.4.7.1.3.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Match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parts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compose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meaning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</w:p>
        </w:tc>
      </w:tr>
      <w:tr>
        <w:tblPrEx/>
        <w:trPr>
          <w:cantSplit w:val="false"/>
          <w:trHeight w:val="818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doub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Conventions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Usage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B1.5.10.1: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phonics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B1.5.10.1.1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correctly</w:t>
            </w:r>
          </w:p>
        </w:tc>
      </w:tr>
      <w:tr>
        <w:tblPrEx/>
        <w:trPr>
          <w:cantSplit w:val="false"/>
          <w:trHeight w:val="611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double" w:sz="4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Extensive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Building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Love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Culture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widely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pleasure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learning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literary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–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books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print</w:t>
            </w:r>
          </w:p>
        </w:tc>
      </w:tr>
      <w:tr>
        <w:tblPrEx/>
        <w:trPr>
          <w:cantSplit w:val="false"/>
          <w:trHeight w:val="750" w:hRule="atLeast"/>
          <w:tblHeader w:val="false"/>
          <w:jc w:val="left"/>
        </w:trPr>
        <w:tc>
          <w:tcPr>
            <w:tcW w:w="1119" w:type="dxa"/>
            <w:vMerge w:val="restart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12/6/26</w:t>
            </w:r>
          </w:p>
        </w:tc>
        <w:tc>
          <w:tcPr>
            <w:tcW w:w="2247" w:type="dxa"/>
            <w:tcBorders>
              <w:top w:val="thinThickSmallGap" w:sz="12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</w:p>
        </w:tc>
        <w:tc>
          <w:tcPr>
            <w:tcW w:w="372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Presentation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B1.1.10.1: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Plan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present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information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ideas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purposes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B1.1.10.1.1.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audience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purpose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presentation</w:t>
            </w:r>
          </w:p>
        </w:tc>
      </w:tr>
      <w:tr>
        <w:tblPrEx/>
        <w:trPr>
          <w:cantSplit w:val="false"/>
          <w:trHeight w:val="881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Fluency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B1.2.9.1: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with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good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speed,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accuracy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expression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B1.2.9.1.1.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short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good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pace</w:t>
            </w:r>
          </w:p>
        </w:tc>
      </w:tr>
      <w:tr>
        <w:tblPrEx/>
        <w:trPr>
          <w:cantSplit w:val="false"/>
          <w:trHeight w:val="719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Controlled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B1.4.7.1:Write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compositions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B1.4.7.1.3.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Match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parts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compose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meaning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</w:p>
        </w:tc>
      </w:tr>
      <w:tr>
        <w:tblPrEx/>
        <w:trPr>
          <w:cantSplit w:val="false"/>
          <w:trHeight w:val="710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Conventions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Usage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B1.5.10.1: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phonics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B1.5.10.1.1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correctly</w:t>
            </w:r>
          </w:p>
        </w:tc>
      </w:tr>
      <w:tr>
        <w:tblPrEx/>
        <w:trPr>
          <w:cantSplit w:val="false"/>
          <w:trHeight w:val="836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Extensive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Building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Love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Culture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widely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pleasure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learning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literary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–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books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print</w:t>
            </w:r>
          </w:p>
        </w:tc>
      </w:tr>
      <w:tr>
        <w:tblPrEx/>
        <w:trPr>
          <w:cantSplit w:val="false"/>
          <w:trHeight w:val="840" w:hRule="atLeast"/>
          <w:tblHeader w:val="false"/>
          <w:jc w:val="left"/>
        </w:trPr>
        <w:tc>
          <w:tcPr>
            <w:tcW w:w="1119" w:type="dxa"/>
            <w:vMerge w:val="restart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9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19/6/26</w:t>
            </w:r>
          </w:p>
        </w:tc>
        <w:tc>
          <w:tcPr>
            <w:tcW w:w="2247" w:type="dxa"/>
            <w:tcBorders>
              <w:top w:val="thinThickSmallGap" w:sz="12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</w:p>
        </w:tc>
        <w:tc>
          <w:tcPr>
            <w:tcW w:w="372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Presentation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B1.1.10.1: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Plan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present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information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ideas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purposes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B1.1.10.1.2.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Generate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select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ideas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given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topic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presentation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e.g.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father,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friend,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etc</w:t>
            </w:r>
          </w:p>
        </w:tc>
      </w:tr>
      <w:tr>
        <w:tblPrEx/>
        <w:trPr>
          <w:cantSplit w:val="false"/>
          <w:trHeight w:val="1265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Fluency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B1.2.9.1: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with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good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speed,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accuracy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expression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B1.2.9.1.1.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short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good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pace</w:t>
            </w:r>
          </w:p>
        </w:tc>
      </w:tr>
      <w:tr>
        <w:tblPrEx/>
        <w:trPr>
          <w:cantSplit w:val="false"/>
          <w:trHeight w:val="692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Descriptive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B1.4.12.1: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description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B1.4.12.1.1.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describe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self</w:t>
            </w:r>
          </w:p>
        </w:tc>
      </w:tr>
      <w:tr>
        <w:tblPrEx/>
        <w:trPr>
          <w:cantSplit w:val="false"/>
          <w:trHeight w:val="692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Conventions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Usage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B1.5.10.1: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phonics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B1.5.10.1.2.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Fill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blank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spaces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</w:p>
        </w:tc>
      </w:tr>
      <w:tr>
        <w:tblPrEx/>
        <w:trPr>
          <w:cantSplit w:val="false"/>
          <w:trHeight w:val="611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Extensive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Building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Love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Culture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widely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pleasure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learning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literary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–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books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print</w:t>
            </w:r>
          </w:p>
        </w:tc>
      </w:tr>
      <w:tr>
        <w:tblPrEx/>
        <w:trPr>
          <w:cantSplit w:val="false"/>
          <w:trHeight w:val="777" w:hRule="atLeast"/>
          <w:tblHeader w:val="false"/>
          <w:jc w:val="left"/>
        </w:trPr>
        <w:tc>
          <w:tcPr>
            <w:tcW w:w="1119" w:type="dxa"/>
            <w:vMerge w:val="restart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26/6/26</w:t>
            </w:r>
          </w:p>
        </w:tc>
        <w:tc>
          <w:tcPr>
            <w:tcW w:w="2247" w:type="dxa"/>
            <w:tcBorders>
              <w:top w:val="thinThickSmallGap" w:sz="12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</w:p>
        </w:tc>
        <w:tc>
          <w:tcPr>
            <w:tcW w:w="372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Presentation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B1.1.10.1: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Plan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present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information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ideas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purposes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B1.1.10.1.2.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Generate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select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ideas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given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topic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presentation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e.g.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father,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friend,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etc</w:t>
            </w:r>
          </w:p>
        </w:tc>
      </w:tr>
      <w:tr>
        <w:tblPrEx/>
        <w:trPr>
          <w:cantSplit w:val="false"/>
          <w:trHeight w:val="611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Fluency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B1.2.9.1: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with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good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speed,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accuracy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expression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B1.2.9.1.2.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Recognise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one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hundred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twenty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sight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including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content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</w:p>
        </w:tc>
      </w:tr>
      <w:tr>
        <w:tblPrEx/>
        <w:trPr>
          <w:cantSplit w:val="false"/>
          <w:trHeight w:val="710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Descriptive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B1.4.12.1: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description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B1.4.12.1.1.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describe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self</w:t>
            </w:r>
          </w:p>
        </w:tc>
      </w:tr>
      <w:tr>
        <w:tblPrEx/>
        <w:trPr>
          <w:cantSplit w:val="false"/>
          <w:trHeight w:val="800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Conventions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Usage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B1.5.10.1: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phonics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B1.5.10.1.2.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Fill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blank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spaces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</w:p>
        </w:tc>
      </w:tr>
      <w:tr>
        <w:tblPrEx/>
        <w:trPr>
          <w:cantSplit w:val="false"/>
          <w:trHeight w:val="899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thinThickSmallGap" w:sz="12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Extensive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Building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Love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Culture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widely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pleasure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learning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literary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–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books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print</w:t>
            </w:r>
          </w:p>
        </w:tc>
      </w:tr>
      <w:tr>
        <w:tblPrEx/>
        <w:trPr>
          <w:cantSplit w:val="false"/>
          <w:trHeight w:val="840" w:hRule="atLeast"/>
          <w:tblHeader w:val="false"/>
          <w:jc w:val="left"/>
        </w:trPr>
        <w:tc>
          <w:tcPr>
            <w:tcW w:w="1119" w:type="dxa"/>
            <w:vMerge w:val="restart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3/7/26</w:t>
            </w:r>
          </w:p>
        </w:tc>
        <w:tc>
          <w:tcPr>
            <w:tcW w:w="2247" w:type="dxa"/>
            <w:tcBorders>
              <w:top w:val="thinThickSmallGap" w:sz="12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</w:p>
        </w:tc>
        <w:tc>
          <w:tcPr>
            <w:tcW w:w="372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Presentation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B1.1.10.1: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Plan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present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information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ideas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purposes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B1.1.10.1.3.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Speak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with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confidence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before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different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audiences,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e.g.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small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group,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class,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etc</w:t>
            </w:r>
          </w:p>
        </w:tc>
      </w:tr>
      <w:tr>
        <w:tblPrEx/>
        <w:trPr>
          <w:cantSplit w:val="false"/>
          <w:trHeight w:val="863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Fluency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B1.2.9.1: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with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good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speed,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accuracy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expression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B1.2.9.1.2.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Recognise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one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hundred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twenty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sight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including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content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</w:p>
        </w:tc>
      </w:tr>
      <w:tr>
        <w:tblPrEx/>
        <w:trPr>
          <w:cantSplit w:val="false"/>
          <w:trHeight w:val="980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Descriptive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B1.4.12.1: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description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B1.4.12.1.1.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describe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self</w:t>
            </w:r>
          </w:p>
        </w:tc>
      </w:tr>
      <w:tr>
        <w:tblPrEx/>
        <w:trPr>
          <w:cantSplit w:val="false"/>
          <w:trHeight w:val="980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Conventions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Usage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B1.5.10.1: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phonics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B1.5.10.1.2.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Fill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blank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spaces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</w:p>
        </w:tc>
      </w:tr>
      <w:tr>
        <w:tblPrEx/>
        <w:trPr>
          <w:cantSplit w:val="false"/>
          <w:trHeight w:val="980" w:hRule="atLeast"/>
          <w:tblHeader w:val="false"/>
          <w:jc w:val="left"/>
        </w:trPr>
        <w:tc>
          <w:tcPr>
            <w:tcW w:w="1119" w:type="dxa"/>
            <w:vMerge w:val="continue"/>
            <w:tcBorders>
              <w:top w:val="thinThickSmallGap" w:sz="12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tcMar/>
            <w:vAlign w:val="center"/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2247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Extensive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Building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Love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Culture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  <w:p>
            <w:pPr>
              <w:spacing w:after="160" w:lineRule="auto" w:line="259"/>
              <w:jc w:val="left"/>
              <w:rPr/>
            </w:pP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B1.6.1.1: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widely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pleasure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learning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literary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variety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–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appropriate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books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texts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print</w:t>
            </w:r>
          </w:p>
        </w:tc>
      </w:tr>
      <w:tr>
        <w:tblPrEx/>
        <w:trPr>
          <w:cantSplit w:val="false"/>
          <w:trHeight w:val="806" w:hRule="atLeast"/>
          <w:tblHeader w:val="false"/>
          <w:jc w:val="left"/>
        </w:trPr>
        <w:tc>
          <w:tcPr>
            <w:tcW w:w="1119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10/7/26</w:t>
            </w:r>
          </w:p>
        </w:tc>
        <w:tc>
          <w:tcPr>
            <w:tcW w:w="9371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REVISION</w:t>
            </w:r>
          </w:p>
        </w:tc>
      </w:tr>
      <w:tr>
        <w:tblPrEx/>
        <w:trPr>
          <w:cantSplit w:val="false"/>
          <w:trHeight w:val="806" w:hRule="atLeast"/>
          <w:tblHeader w:val="false"/>
          <w:jc w:val="left"/>
        </w:trPr>
        <w:tc>
          <w:tcPr>
            <w:tcW w:w="111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13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17/7/26</w:t>
            </w:r>
          </w:p>
        </w:tc>
        <w:tc>
          <w:tcPr>
            <w:tcW w:w="9371" w:type="dxa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END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TERM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ASSESSMENT</w:t>
            </w:r>
          </w:p>
        </w:tc>
      </w:tr>
      <w:tr>
        <w:tblPrEx/>
        <w:trPr>
          <w:cantSplit w:val="false"/>
          <w:trHeight w:val="806" w:hRule="atLeast"/>
          <w:tblHeader w:val="false"/>
          <w:jc w:val="left"/>
        </w:trPr>
        <w:tc>
          <w:tcPr>
            <w:tcW w:w="111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14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23/7/26</w:t>
            </w:r>
          </w:p>
        </w:tc>
        <w:tc>
          <w:tcPr>
            <w:tcW w:w="9371" w:type="dxa"/>
            <w:gridSpan w:val="3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VACATION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SBA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ACTIVITIES</w:t>
            </w:r>
          </w:p>
        </w:tc>
      </w:tr>
    </w:tbl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  <w:r>
        <w:rPr>
          <w:rFonts w:ascii="Gill Sans MT" w:cs="宋体" w:eastAsia="Calibri" w:hAnsi="Gill Sans M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br w:type="page"/>
      </w:r>
    </w:p>
    <w:p>
      <w:pPr>
        <w:spacing w:after="160" w:lineRule="auto" w:line="259"/>
        <w:jc w:val="center"/>
        <w:rPr/>
      </w:pP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MATHEMATICS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–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THIRD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TERM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SCHEME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OF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LEARNING</w:t>
      </w:r>
    </w:p>
    <w:tbl>
      <w:tblPr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22"/>
        <w:gridCol w:w="4101"/>
        <w:gridCol w:w="3261"/>
      </w:tblGrid>
      <w:tr>
        <w:trPr>
          <w:cantSplit w:val="false"/>
          <w:trHeight w:val="791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WEEKS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STRAND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SUB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STRANDS/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CONTENT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STANDARD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INDICATORS</w:t>
            </w:r>
          </w:p>
        </w:tc>
      </w:tr>
      <w:tr>
        <w:tblPrEx/>
        <w:trPr>
          <w:cantSplit w:val="false"/>
          <w:trHeight w:val="979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24/4/26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Number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Patterns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Recognize,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create,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describe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numerical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numerical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patterns.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B1.2.1.1.1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repeating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patterns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with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4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repeating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elements</w:t>
            </w:r>
          </w:p>
        </w:tc>
      </w:tr>
      <w:tr>
        <w:tblPrEx/>
        <w:trPr>
          <w:cantSplit w:val="false"/>
          <w:trHeight w:val="979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30/4/26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Number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Patterns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Recognize,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create,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describe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numerical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numerical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patterns.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B1.2.1.1.1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repeating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patterns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with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4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repeating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elements</w:t>
            </w:r>
          </w:p>
        </w:tc>
      </w:tr>
      <w:tr>
        <w:tblPrEx/>
        <w:trPr>
          <w:cantSplit w:val="false"/>
          <w:trHeight w:val="773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8/5/26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Number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Patterns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Recognize,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create,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describe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numerical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numerical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patterns.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B1.2.1.1.1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repeating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patterns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with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4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repeating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elements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4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15/5/26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Number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2D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3D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Shapes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B1.3.1.1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Analyze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attributes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two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dimensional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shapes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three-dimensional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objects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develop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general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concept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about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their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properties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B1.3.1.1.1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Distinguish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between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attributes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define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two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dimensional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figure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three-dimensional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figure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attributes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not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define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shape</w:t>
            </w:r>
          </w:p>
        </w:tc>
      </w:tr>
      <w:tr>
        <w:tblPrEx/>
        <w:trPr>
          <w:cantSplit w:val="false"/>
          <w:trHeight w:val="638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22/5/26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Number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2D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3D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Shapes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B1.3.1.1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Analyze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attributes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two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dimensional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shapes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three-dimensional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objects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develop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general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concept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about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their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properties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B1.3.1.1.2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three-dimensional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shapes,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including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spheres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ones,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cylinders,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rectangular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prisms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(including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cubes),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triangular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prisms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describe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their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attributes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formal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geometric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</w:p>
        </w:tc>
      </w:tr>
      <w:tr>
        <w:tblPrEx/>
        <w:trPr>
          <w:cantSplit w:val="false"/>
          <w:trHeight w:val="701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6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29/5/26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Number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2D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3D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Shapes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B1.3.1.1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Analyze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attributes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two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dimensional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shapes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three-dimensional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objects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develop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general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concept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about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their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properties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B1.3.1.1.3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two-dimensional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shapes,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including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circles,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triangles,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rectangles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squares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special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rectangles,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rhombuses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hexagons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describe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their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attributes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formal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geometric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7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5/6/26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Number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2D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3D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Shapes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B1.3.1.1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Analyze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attributes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two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dimensional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shapes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three-dimensional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objects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develop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general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concept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about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their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properties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B1.3.1.1.3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two-dimensional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shapes,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including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circles,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triangles,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rectangles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squares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special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rectangles,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rhombuses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hexagons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describe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their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attributes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formal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geometric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</w:p>
        </w:tc>
      </w:tr>
      <w:tr>
        <w:tblPrEx/>
        <w:trPr>
          <w:cantSplit w:val="false"/>
          <w:trHeight w:val="719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12/6/26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Number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osition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/Transformation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B1.3.2.1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Describe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position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objects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space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B1.3.2.1.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Tell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position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objects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relative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other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objects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space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such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above,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below,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right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etc.</w:t>
            </w:r>
          </w:p>
        </w:tc>
      </w:tr>
      <w:tr>
        <w:tblPrEx/>
        <w:trPr>
          <w:cantSplit w:val="false"/>
          <w:trHeight w:val="620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9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19/6/26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Number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Measurement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(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Length,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Mass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Capacity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)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B1.3.3.1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Measurement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B1.3.3.1.1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Develop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measuring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process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comparing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pairs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items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such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smaller,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longer,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thinner,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heavier,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bigger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etc.</w:t>
            </w:r>
          </w:p>
        </w:tc>
      </w:tr>
      <w:tr>
        <w:tblPrEx/>
        <w:trPr>
          <w:cantSplit w:val="false"/>
          <w:trHeight w:val="755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26/6/26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Number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Measurement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(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Length,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Mass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Capacity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)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B1.3.3.1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Measurement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B1.3.3.1.1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Develop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measuring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process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comparing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pairs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items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such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smaller,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longer,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thinner,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heavier,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bigger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etc.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3/7/26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Number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Data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Organize,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represent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interpret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data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B1.4.1.1.1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Organize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represent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(using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pictures/objects)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data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with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up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three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categories.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B1.4.1.1.2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Organize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given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data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three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categories,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find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total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number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data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points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determine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how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many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each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category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compare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number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two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category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10/7/26</w:t>
            </w:r>
          </w:p>
        </w:tc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REVISION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13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17/7/26</w:t>
            </w:r>
          </w:p>
        </w:tc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END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TERM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ASSESSMENT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14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23/7/26</w:t>
            </w:r>
          </w:p>
        </w:tc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VACATION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SBA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ACTIVITIES</w:t>
            </w:r>
          </w:p>
        </w:tc>
      </w:tr>
    </w:tbl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  <w:r>
        <w:rPr>
          <w:rFonts w:ascii="Gill Sans MT" w:cs="宋体" w:eastAsia="Calibri" w:hAnsi="Gill Sans M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br w:type="page"/>
      </w:r>
    </w:p>
    <w:p>
      <w:pPr>
        <w:spacing w:after="160" w:lineRule="auto" w:line="259"/>
        <w:jc w:val="center"/>
        <w:rPr/>
      </w:pP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SCIENCE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–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THIRD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TERM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SCHEME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OF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LEARNING</w:t>
      </w:r>
    </w:p>
    <w:tbl>
      <w:tblPr>
        <w:tblW w:w="10210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59"/>
        <w:gridCol w:w="4112"/>
        <w:gridCol w:w="3403"/>
      </w:tblGrid>
      <w:tr>
        <w:trPr>
          <w:cantSplit w:val="false"/>
          <w:trHeight w:val="227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WEEKS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STRAND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SUB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STRANDS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INDICATORS</w:t>
            </w:r>
          </w:p>
        </w:tc>
      </w:tr>
      <w:tr>
        <w:tblPrEx/>
        <w:trPr>
          <w:cantSplit w:val="false"/>
          <w:trHeight w:val="357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24/4/26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Forces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Energy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Electricity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Electronic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B1.4.2.1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generation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electricity,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its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transmission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transformation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into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other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forms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energy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B1.4.2.1.1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importance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electricity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household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appliances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require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electricity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work</w:t>
            </w:r>
          </w:p>
        </w:tc>
      </w:tr>
      <w:tr>
        <w:tblPrEx/>
        <w:trPr>
          <w:cantSplit w:val="false"/>
          <w:trHeight w:val="357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30/4/26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Forces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Energy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Electricity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Electronic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B1.4.2.2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functions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assemblage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basic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electronics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components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B1.4.2.2.1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Know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examples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electronic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devices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their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uses</w:t>
            </w:r>
          </w:p>
        </w:tc>
      </w:tr>
      <w:tr>
        <w:tblPrEx/>
        <w:trPr>
          <w:cantSplit w:val="false"/>
          <w:trHeight w:val="310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8/5/26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Forces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Energy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Forces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Movement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B1.4.3.1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movement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caused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by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applied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forces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due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release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stored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energy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B1.4.3.1.1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Explain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force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pull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push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object</w:t>
            </w:r>
          </w:p>
        </w:tc>
      </w:tr>
      <w:tr>
        <w:tblPrEx/>
        <w:trPr>
          <w:cantSplit w:val="false"/>
          <w:trHeight w:val="307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4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15/5/26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Forces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Energy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Forces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Movement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B1.4.3.2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movement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caused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by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applied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forces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due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release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stored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energy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B1.4.3.2.1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what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machines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cite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common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examples</w:t>
            </w:r>
          </w:p>
        </w:tc>
      </w:tr>
      <w:tr>
        <w:tblPrEx/>
        <w:trPr>
          <w:cantSplit w:val="false"/>
          <w:trHeight w:val="304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22/5/26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Humans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Environment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Personal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Hygiene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Sanitation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common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diseases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humans,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causes,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symptoms,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effects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prevention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5.1.1.1-2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Explain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need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bathing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how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done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Know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need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clean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teeth</w:t>
            </w:r>
          </w:p>
        </w:tc>
      </w:tr>
      <w:tr>
        <w:tblPrEx/>
        <w:trPr>
          <w:cantSplit w:val="false"/>
          <w:trHeight w:val="267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6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29/5/26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Humans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Environment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Personal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Hygiene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Sanitation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5.1.1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Recognise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importance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personal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hygiene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5.1.1.3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need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how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wash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hands</w:t>
            </w:r>
          </w:p>
        </w:tc>
      </w:tr>
      <w:tr>
        <w:tblPrEx/>
        <w:trPr>
          <w:cantSplit w:val="false"/>
          <w:trHeight w:val="267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7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5/6/26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Humans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Environment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Personal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Hygiene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Sanitation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5.1.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Recognise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importance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personal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hygiene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B1.5.1.2.1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clean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air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water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essential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human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health</w:t>
            </w:r>
          </w:p>
        </w:tc>
      </w:tr>
      <w:tr>
        <w:tblPrEx/>
        <w:trPr>
          <w:cantSplit w:val="false"/>
          <w:trHeight w:val="267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12/6/26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Humans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Environment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Diseases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B1.5.2.1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common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diseases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humans,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causes,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symptoms,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effects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prevention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B1.5.2.1.1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some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diseases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affect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skin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their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causes</w:t>
            </w:r>
          </w:p>
        </w:tc>
      </w:tr>
      <w:tr>
        <w:tblPrEx/>
        <w:trPr>
          <w:cantSplit w:val="false"/>
          <w:trHeight w:val="323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9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19/6/26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Humans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Environment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Science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Industry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   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Exhibit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food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processing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preservation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B1.5.3.1.1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foods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be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processed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preserved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home</w:t>
            </w:r>
          </w:p>
        </w:tc>
      </w:tr>
      <w:tr>
        <w:tblPrEx/>
        <w:trPr>
          <w:cantSplit w:val="false"/>
          <w:trHeight w:val="291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26/6/26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Humans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Environment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Science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Industry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   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Exhibit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food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processing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preservation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B1.5.3.2.1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foods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can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processed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preserved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at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home</w:t>
            </w:r>
          </w:p>
        </w:tc>
      </w:tr>
      <w:tr>
        <w:tblPrEx/>
        <w:trPr>
          <w:cantSplit w:val="false"/>
          <w:trHeight w:val="285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3/7/26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Humans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Environment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Climate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Change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climate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change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important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environmental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issue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facing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world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today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B1.5.4.1.1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Describe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conditions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weather</w:t>
            </w:r>
          </w:p>
        </w:tc>
      </w:tr>
      <w:tr>
        <w:tblPrEx/>
        <w:trPr>
          <w:cantSplit w:val="false"/>
          <w:trHeight w:val="285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10/7/26</w:t>
            </w:r>
          </w:p>
        </w:tc>
        <w:tc>
          <w:tcPr>
            <w:tcW w:w="9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REVISION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</w:tc>
      </w:tr>
      <w:tr>
        <w:tblPrEx/>
        <w:trPr>
          <w:cantSplit w:val="false"/>
          <w:trHeight w:val="357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13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17/7/26</w:t>
            </w:r>
          </w:p>
        </w:tc>
        <w:tc>
          <w:tcPr>
            <w:tcW w:w="9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END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TERM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ASSESSMENT</w:t>
            </w:r>
          </w:p>
        </w:tc>
      </w:tr>
      <w:tr>
        <w:tblPrEx/>
        <w:trPr>
          <w:cantSplit w:val="false"/>
          <w:trHeight w:val="357" w:hRule="atLeast"/>
          <w:tblHeader w:val="false"/>
          <w:jc w:val="left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14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23/7/26</w:t>
            </w:r>
          </w:p>
        </w:tc>
        <w:tc>
          <w:tcPr>
            <w:tcW w:w="9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VACATION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SBA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ACTIVITIES</w:t>
            </w:r>
          </w:p>
        </w:tc>
      </w:tr>
    </w:tbl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  <w:r>
        <w:rPr>
          <w:rFonts w:ascii="Gill Sans MT" w:cs="宋体" w:eastAsia="Calibri" w:hAnsi="Gill Sans M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br w:type="page"/>
      </w:r>
    </w:p>
    <w:p>
      <w:pPr>
        <w:spacing w:after="160" w:lineRule="auto" w:line="259"/>
        <w:jc w:val="center"/>
        <w:rPr/>
      </w:pP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OUR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WORLD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OUR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PEOPLE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–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THIRD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TERM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SCHEME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OF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LEARNING</w:t>
      </w:r>
    </w:p>
    <w:tbl>
      <w:tblPr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485"/>
        <w:gridCol w:w="3828"/>
        <w:gridCol w:w="3402"/>
      </w:tblGrid>
      <w:tr>
        <w:trPr>
          <w:cantSplit w:val="false"/>
          <w:trHeight w:val="79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WEEKS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STRAND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SUB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STRANDS/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CONTENT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INDICATORS</w:t>
            </w:r>
          </w:p>
        </w:tc>
      </w:tr>
      <w:tr>
        <w:tblPrEx/>
        <w:trPr>
          <w:cantSplit w:val="false"/>
          <w:trHeight w:val="979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24/4/26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Our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Nation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Responsible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Resources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importance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energy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our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environment.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B1.4.3.1.1.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Explore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importance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energy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home,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school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</w:tr>
      <w:tr>
        <w:tblPrEx/>
        <w:trPr>
          <w:cantSplit w:val="false"/>
          <w:trHeight w:val="773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30/4/26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Our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Nation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Farming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farming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important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activity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B1.4.4.1.1.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Describe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farming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activities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8/5/26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Our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Nation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Farming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simple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agricultural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tools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B1.4.4.2.1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agricultural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tools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4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15/5/26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Global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Our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Neighboring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Countries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Ghana’s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Neighboring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Countries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B1.5.1.1.1.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Mention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Ghana’s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Neighbors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22/5/26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Global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Our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Neighboring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Countries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Ghana’s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Neighboring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Countries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B1.5.1.1.1.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Mention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Ghana’s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Neighbours</w:t>
            </w:r>
          </w:p>
        </w:tc>
      </w:tr>
      <w:tr>
        <w:tblPrEx/>
        <w:trPr>
          <w:cantSplit w:val="false"/>
          <w:trHeight w:val="638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6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29/5/26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Global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Introduction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Computing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parts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computer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B1.5.2.1.1.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parts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computer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connect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each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other</w:t>
            </w:r>
          </w:p>
        </w:tc>
      </w:tr>
      <w:tr>
        <w:tblPrEx/>
        <w:trPr>
          <w:cantSplit w:val="false"/>
          <w:trHeight w:val="70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7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5/6/26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Global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Introduction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Computing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parts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computer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B1.5.2.1.1.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parts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computer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connect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each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other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12/6/26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Global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40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Sources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Information</w:t>
            </w:r>
          </w:p>
          <w:p>
            <w:pPr>
              <w:spacing w:after="160" w:lineRule="auto" w:line="240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data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sources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information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B1.5.3.1.1.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Collect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types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data</w:t>
            </w:r>
          </w:p>
        </w:tc>
      </w:tr>
      <w:tr>
        <w:tblPrEx/>
        <w:trPr>
          <w:cantSplit w:val="false"/>
          <w:trHeight w:val="719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9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19/6/26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Global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40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Sources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Information</w:t>
            </w:r>
          </w:p>
          <w:p>
            <w:pPr>
              <w:spacing w:after="160" w:lineRule="auto" w:line="240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data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sources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information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B1.5.3.1.1.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Collect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types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data</w:t>
            </w:r>
          </w:p>
        </w:tc>
      </w:tr>
      <w:tr>
        <w:tblPrEx/>
        <w:trPr>
          <w:cantSplit w:val="false"/>
          <w:trHeight w:val="62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26/6/26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Global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Technology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Communication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Recognise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technology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tools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communication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B1.5.4.1.1.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technology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tools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communication</w:t>
            </w:r>
          </w:p>
        </w:tc>
      </w:tr>
      <w:tr>
        <w:tblPrEx/>
        <w:trPr>
          <w:cantSplit w:val="false"/>
          <w:trHeight w:val="755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3/7/26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Global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Technology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Communication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Recognise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technology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tools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communication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B1.5.4.1.1.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technology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tools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communication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REVISION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13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17/7/26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END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TERM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ASSESSMENT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14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23/7/26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VACATION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SBA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ACTIVITIES</w:t>
            </w:r>
          </w:p>
        </w:tc>
      </w:tr>
    </w:tbl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  <w:r>
        <w:rPr>
          <w:rFonts w:ascii="Gill Sans MT" w:cs="宋体" w:eastAsia="Calibri" w:hAnsi="Gill Sans M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br w:type="page"/>
      </w:r>
    </w:p>
    <w:p>
      <w:pPr>
        <w:spacing w:after="160" w:lineRule="auto" w:line="259"/>
        <w:jc w:val="center"/>
        <w:rPr/>
      </w:pP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RELIGIOUS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AND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MORAL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EDUCATION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–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THIRD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TERM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SCHEME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OF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LEARNING</w:t>
      </w:r>
    </w:p>
    <w:tbl>
      <w:tblPr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485"/>
        <w:gridCol w:w="3969"/>
        <w:gridCol w:w="3261"/>
      </w:tblGrid>
      <w:tr>
        <w:trPr>
          <w:cantSplit w:val="false"/>
          <w:trHeight w:val="79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WEEKS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STRAND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SUB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STRANDS/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CONTENT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STANDARD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INDICATORS</w:t>
            </w:r>
          </w:p>
        </w:tc>
      </w:tr>
      <w:tr>
        <w:tblPrEx/>
        <w:trPr>
          <w:cantSplit w:val="false"/>
          <w:trHeight w:val="979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24/4/26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Religious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Leaders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Birth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leaders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three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major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religion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Narrate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birth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stories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leaders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three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main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religions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B1.3.1.1.2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outline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moral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lessons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early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lives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Jesus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Christ.</w:t>
            </w:r>
          </w:p>
        </w:tc>
      </w:tr>
      <w:tr>
        <w:tblPrEx/>
        <w:trPr>
          <w:cantSplit w:val="false"/>
          <w:trHeight w:val="773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30/4/26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Religious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Leaders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Birth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leaders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three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major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religion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Narrate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birth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stories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leaders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three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main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religions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B1.3.1.1.2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outline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moral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lessons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early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lives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Jesus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Christ.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8/5/26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Religious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Leaders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Birth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leaders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three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major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religion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Narrate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birth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stories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leaders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three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main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religions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B1.3.1.1.2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outline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moral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lessons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early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lives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Jesus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Christ.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4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15/5/26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Religious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Leaders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Birth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leaders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three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major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religion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Narrate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birth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stories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leaders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three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main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religions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B1.3.1.1.2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outline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moral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lessons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early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lives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Jesus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GB" w:eastAsia="en-US"/>
              </w:rPr>
              <w:t>Christ.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22/5/26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Family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Roles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Relationships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appreciation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roles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family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community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their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daily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lives: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4.1.1.1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role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individual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members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family.</w:t>
            </w:r>
          </w:p>
        </w:tc>
      </w:tr>
      <w:tr>
        <w:tblPrEx/>
        <w:trPr>
          <w:cantSplit w:val="false"/>
          <w:trHeight w:val="638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6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29/5/26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Family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Roles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Relationships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appreciation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roles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family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community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their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daily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lives: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4.1.1.1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role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individual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members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family.</w:t>
            </w:r>
          </w:p>
        </w:tc>
      </w:tr>
      <w:tr>
        <w:tblPrEx/>
        <w:trPr>
          <w:cantSplit w:val="false"/>
          <w:trHeight w:val="70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7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5/6/26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Family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Roles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Relationships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appreciation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roles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family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community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their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daily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lives: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4.1.1.1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role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individual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members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family.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12/6/26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Family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Roles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Relationships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appreciation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roles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family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community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their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daily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lives: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4.1.1.2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Explain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role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community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upbringing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members</w:t>
            </w:r>
          </w:p>
        </w:tc>
      </w:tr>
      <w:tr>
        <w:tblPrEx/>
        <w:trPr>
          <w:cantSplit w:val="false"/>
          <w:trHeight w:val="719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9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19/6/26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Family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Roles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Relationships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appreciation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roles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family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community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their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daily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lives: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4.1.1.2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Explain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role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community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upbringing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members</w:t>
            </w:r>
          </w:p>
        </w:tc>
      </w:tr>
      <w:tr>
        <w:tblPrEx/>
        <w:trPr>
          <w:cantSplit w:val="false"/>
          <w:trHeight w:val="62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26/6/26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Family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Roles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Relationships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appreciation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roles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family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community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their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daily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lives: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4.1.1.2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Explain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role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community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upbringing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members</w:t>
            </w:r>
          </w:p>
        </w:tc>
      </w:tr>
      <w:tr>
        <w:tblPrEx/>
        <w:trPr>
          <w:cantSplit w:val="false"/>
          <w:trHeight w:val="755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3/7/26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Family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Roles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Relationships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appreciation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roles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family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community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their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daily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lives: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4.1.1.2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Explain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role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community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upbringing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members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REVISION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13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17/7/26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END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TERM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ASSESSMENT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14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23/7/26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VACATION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SBA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ACTIVITIES</w:t>
            </w:r>
          </w:p>
        </w:tc>
      </w:tr>
    </w:tbl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  <w:r>
        <w:rPr>
          <w:rFonts w:ascii="Gill Sans MT" w:cs="宋体" w:eastAsia="Calibri" w:hAnsi="Gill Sans M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br w:type="page"/>
      </w:r>
    </w:p>
    <w:p>
      <w:pPr>
        <w:spacing w:after="160" w:lineRule="auto" w:line="259"/>
        <w:jc w:val="center"/>
        <w:rPr/>
      </w:pP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HISTORY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-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THIRD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TERM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SCHEME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OF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LEARNING</w:t>
      </w:r>
    </w:p>
    <w:tbl>
      <w:tblPr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44"/>
        <w:gridCol w:w="3969"/>
        <w:gridCol w:w="3402"/>
      </w:tblGrid>
      <w:tr>
        <w:trPr>
          <w:cantSplit w:val="false"/>
          <w:trHeight w:val="79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WEEKS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STRAND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SUB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STRANDS/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CONTENT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INDICATORS</w:t>
            </w:r>
          </w:p>
        </w:tc>
      </w:tr>
      <w:tr>
        <w:tblPrEx/>
        <w:trPr>
          <w:cantSplit w:val="false"/>
          <w:trHeight w:val="979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24/4/26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Arrival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Who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Came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B1.3.1.1.1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Explore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which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came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</w:tr>
      <w:tr>
        <w:tblPrEx/>
        <w:trPr>
          <w:cantSplit w:val="false"/>
          <w:trHeight w:val="773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30/4/26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Arrival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Who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Came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B1.3.1.1.1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Explore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which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came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Arrival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Who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Came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B1.3.1.1.1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Explore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which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came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4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15/5/26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Arrival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Who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Came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B1.3.1.1.1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Explore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which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came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22/5/26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Arrival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Who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Came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B1.3.1.1.1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Explore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which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came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</w:tr>
      <w:tr>
        <w:tblPrEx/>
        <w:trPr>
          <w:cantSplit w:val="false"/>
          <w:trHeight w:val="638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6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29/5/26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Arrival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Who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Came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0"/>
                <w:highlight w:val="none"/>
                <w:vertAlign w:val="baseline"/>
                <w:em w:val="none"/>
                <w:lang w:val="en-US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B1.3.1.1.1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Explore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which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Europeans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came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</w:tr>
      <w:tr>
        <w:tblPrEx/>
        <w:trPr>
          <w:cantSplit w:val="false"/>
          <w:trHeight w:val="70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7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Republics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presidents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have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ruled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since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1960Identify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Presidents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had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since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1960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Republics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presidents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have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ruled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since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1960Identify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Presidents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had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since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1960</w:t>
            </w:r>
          </w:p>
        </w:tc>
      </w:tr>
      <w:tr>
        <w:tblPrEx/>
        <w:trPr>
          <w:cantSplit w:val="false"/>
          <w:trHeight w:val="719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9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19/6/26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Republics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presidents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have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ruled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since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1960Identify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Presidents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had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since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1960</w:t>
            </w:r>
          </w:p>
        </w:tc>
      </w:tr>
      <w:tr>
        <w:tblPrEx/>
        <w:trPr>
          <w:cantSplit w:val="false"/>
          <w:trHeight w:val="62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26/6/26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Republics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presidents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have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ruled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since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1960Identify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Presidents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had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since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1960</w:t>
            </w:r>
          </w:p>
        </w:tc>
      </w:tr>
      <w:tr>
        <w:tblPrEx/>
        <w:trPr>
          <w:cantSplit w:val="false"/>
          <w:trHeight w:val="755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3/7/26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Independent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Times New Roman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Republics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presidents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have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ruled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since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1960Identify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Presidents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Ghana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had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since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1960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REVISION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13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17/7/26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END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TERM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ASSESSMENT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14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23/7/26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VACATION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SBA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ACTIVITIES</w:t>
            </w:r>
          </w:p>
        </w:tc>
      </w:tr>
    </w:tbl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  <w:r>
        <w:rPr>
          <w:rFonts w:ascii="Gill Sans MT" w:cs="宋体" w:eastAsia="Calibri" w:hAnsi="Gill Sans M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br w:type="page"/>
      </w:r>
    </w:p>
    <w:p>
      <w:pPr>
        <w:spacing w:after="160" w:lineRule="auto" w:line="259"/>
        <w:jc w:val="center"/>
        <w:rPr/>
      </w:pP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CREATIVE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ARTS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-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THIRD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TERM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SCHEME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OF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LEARNING</w:t>
      </w:r>
    </w:p>
    <w:tbl>
      <w:tblPr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44"/>
        <w:gridCol w:w="3969"/>
        <w:gridCol w:w="3402"/>
      </w:tblGrid>
      <w:tr>
        <w:trPr>
          <w:cantSplit w:val="false"/>
          <w:trHeight w:val="79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WEEKS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STRAND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SUB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STRANDS/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CONTENT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INDICATORS</w:t>
            </w:r>
          </w:p>
        </w:tc>
      </w:tr>
      <w:tr>
        <w:tblPrEx/>
        <w:trPr>
          <w:cantSplit w:val="false"/>
          <w:trHeight w:val="979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24/4/26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Thinking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Exploring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Ideas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generate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ideas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artistic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expressions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people,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based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their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history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culture,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environment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topical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local/national/global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issues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B1.1.1.1.3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experiences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talk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about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produced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found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local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community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natural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environment</w:t>
            </w:r>
          </w:p>
        </w:tc>
      </w:tr>
      <w:tr>
        <w:tblPrEx/>
        <w:trPr>
          <w:cantSplit w:val="false"/>
          <w:trHeight w:val="773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30/4/26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Thinking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Exploring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Ideas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generate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ideas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artistic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expressions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people,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based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their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history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culture,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environment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topical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local/national/global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issues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B1.2.1.1.3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experiences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talk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about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produced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performed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local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community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natural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environment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Planning,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Making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Composing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organise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ideas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through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experimenting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available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media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techniques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creating/composing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artworks,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based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history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culture,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environment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topical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local/national/global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issues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other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communities.</w:t>
            </w:r>
          </w:p>
          <w:p>
            <w:pPr>
              <w:spacing w:after="160" w:lineRule="auto" w:line="259"/>
              <w:ind w:left="720"/>
              <w:jc w:val="left"/>
              <w:rPr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B1.1.2.2.3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Explore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available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relevant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making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tools,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materials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methods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make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natural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man-made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environments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local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B1.1.2.3.3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Create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express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views,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topical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issues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local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4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15/5/26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Planning,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Making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Composing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organise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ideas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through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experimenting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available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media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techniques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creating/composing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artworks,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based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history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culture,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environment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topical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local/national/global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issues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other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communities.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local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community</w:t>
            </w:r>
          </w:p>
          <w:p>
            <w:pPr>
              <w:spacing w:after="160" w:lineRule="auto" w:line="259"/>
              <w:ind w:left="720"/>
              <w:jc w:val="left"/>
              <w:rPr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B1.2.2.2.3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Explore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available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means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relevant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instruments,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resources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methods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create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natural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manmade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environments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B1.2.2.3.3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Create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express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views,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topical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issues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local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22/5/26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Displaying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Sharing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plan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display/presentation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portfolio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by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identifying,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preparing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venue,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selecting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grouping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inviting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target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audience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planned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display/performance.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B1.1.3.4.3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Plan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display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share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creative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experiences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based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ideas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topical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issues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local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B1.1.3.5.3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Exhibit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share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creative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experiences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topical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issues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local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</w:tr>
      <w:tr>
        <w:tblPrEx/>
        <w:trPr>
          <w:cantSplit w:val="false"/>
          <w:trHeight w:val="638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6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29/5/26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Displaying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Sharing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display/present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portfolio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art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share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knowledge,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concepts,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ideas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experiences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audience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through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display/presentation;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using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senses/manual/digital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applications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where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necessary,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record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reporting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events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B1.2.3.4.3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Plan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display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share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creative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experiences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based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ideas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topical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issues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local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B1.2.3.5.3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Perform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share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creative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experiences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topical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issues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local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  <w:p>
            <w:pPr>
              <w:spacing w:after="160" w:lineRule="auto" w:line="259"/>
              <w:jc w:val="left"/>
              <w:rPr/>
            </w:pPr>
          </w:p>
        </w:tc>
      </w:tr>
      <w:tr>
        <w:tblPrEx/>
        <w:trPr>
          <w:cantSplit w:val="false"/>
          <w:trHeight w:val="70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7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Appreciating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Appraising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make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informed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decisions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displays,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presentations,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performances,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recordings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and/or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reports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based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established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guide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judging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(the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theme,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subject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matter,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media,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techniques,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elements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principles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design,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social,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aesthetic,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cultural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functional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values)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correlation,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correction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future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modifications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B1.1.4.6.2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agreed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guidelines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examine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derive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meaning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others’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displayed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B1.1.4.7.2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Report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views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feelings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about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displayed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suggest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be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modified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improved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Appreciating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Appraising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make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informed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decisions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displays,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presentations,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performances,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recordings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and/or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reports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based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established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guide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judging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(the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theme,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subject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matter,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media,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techniques,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elements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principles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design,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social,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aesthetic,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cultural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functional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values)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correlation,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correction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future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modifications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B1.2.4.6.3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agreed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guidelines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examine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derive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meaning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others’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displayed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B1.2.4.7.3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Report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views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feelings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about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displayed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suggest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be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modified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improved</w:t>
            </w:r>
          </w:p>
        </w:tc>
      </w:tr>
      <w:tr>
        <w:tblPrEx/>
        <w:trPr>
          <w:cantSplit w:val="false"/>
          <w:trHeight w:val="719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9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19/6/26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</w:p>
          <w:p>
            <w:pPr>
              <w:spacing w:lineRule="auto" w:line="24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      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</w:p>
          <w:p>
            <w:pPr>
              <w:spacing w:lineRule="auto" w:line="24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Thinking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Exploring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Ideas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School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based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project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(Visual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Arts)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B1.2.1.1.3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experiences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talk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about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produced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performed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local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community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natural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environment</w:t>
            </w:r>
          </w:p>
        </w:tc>
      </w:tr>
      <w:tr>
        <w:tblPrEx/>
        <w:trPr>
          <w:cantSplit w:val="false"/>
          <w:trHeight w:val="62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26/6/26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</w:p>
          <w:p>
            <w:pPr>
              <w:spacing w:lineRule="auto" w:line="24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      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Planning,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Making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Composing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School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based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project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(Visual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B1.2.2.3.3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Create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express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views,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topical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issues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local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community</w:t>
            </w:r>
          </w:p>
        </w:tc>
      </w:tr>
      <w:tr>
        <w:tblPrEx/>
        <w:trPr>
          <w:cantSplit w:val="false"/>
          <w:trHeight w:val="755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3/7/26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Visual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</w:p>
          <w:p>
            <w:pPr>
              <w:spacing w:lineRule="auto" w:line="24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      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Displaying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sharing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School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based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project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(Visual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Arts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Calibri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Arts)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B1.2.3.4.3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Plan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display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performing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artworks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share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creative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experiences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based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ideas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reflect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topical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issues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local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REVISION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13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17/7/26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END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TERM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ASSESSMENT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14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23/7/26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VACATION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SBA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ACTIVITIES</w:t>
            </w:r>
          </w:p>
        </w:tc>
      </w:tr>
    </w:tbl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  <w:r>
        <w:rPr>
          <w:rFonts w:ascii="Gill Sans MT" w:cs="宋体" w:eastAsia="Calibri" w:hAnsi="Gill Sans M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br w:type="page"/>
      </w:r>
    </w:p>
    <w:p>
      <w:pPr>
        <w:spacing w:after="160" w:lineRule="auto" w:line="259"/>
        <w:jc w:val="center"/>
        <w:rPr/>
      </w:pP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GHANAIAN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LANGUAGE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-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THIRD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TERM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SCHEME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OF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t>LEARNING</w:t>
      </w:r>
    </w:p>
    <w:tbl>
      <w:tblPr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44"/>
        <w:gridCol w:w="3969"/>
        <w:gridCol w:w="3402"/>
      </w:tblGrid>
      <w:tr>
        <w:trPr>
          <w:cantSplit w:val="false"/>
          <w:trHeight w:val="79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WEEKS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STRAND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SUB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STRANDS/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CONTENT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INDICATORS</w:t>
            </w:r>
          </w:p>
        </w:tc>
      </w:tr>
      <w:tr>
        <w:tblPrEx/>
        <w:trPr>
          <w:cantSplit w:val="false"/>
          <w:trHeight w:val="979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24/4/26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Listening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Comprehension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answering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questions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from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passage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B1.1.8.1.1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Produce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story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about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answer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questions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story</w:t>
            </w:r>
          </w:p>
        </w:tc>
      </w:tr>
      <w:tr>
        <w:tblPrEx/>
        <w:trPr>
          <w:cantSplit w:val="false"/>
          <w:trHeight w:val="773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30/4/26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Asking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Answering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Questions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understanding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answering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questions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correctly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by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question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words.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B1.1.9.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1.1.-3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Recognise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question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“what”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“who”.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Recognise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question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“where”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“when”.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Oral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Giving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Following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Commands/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Instructions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Exhibit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giving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responding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commands.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B1.1.10.1.1.-2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Explain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is.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Respond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four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five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commands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4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15/5/26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Presentation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days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week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say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time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by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hour.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B1.1.11.1.1.-3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Discuss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times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day.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Say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names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days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week.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22/5/26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Silent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reading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comprehension.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picture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B1.2.7.1.1.-2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about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four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five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words.</w:t>
            </w:r>
          </w:p>
        </w:tc>
      </w:tr>
      <w:tr>
        <w:tblPrEx/>
        <w:trPr>
          <w:cantSplit w:val="false"/>
          <w:trHeight w:val="638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6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29/5/26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Fluency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Exhibit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by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reading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minimal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mistakes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B1.2.8.1.1.-2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Blend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syllables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form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words.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aloud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correct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pronunciation</w:t>
            </w:r>
          </w:p>
        </w:tc>
      </w:tr>
      <w:tr>
        <w:tblPrEx/>
        <w:trPr>
          <w:cantSplit w:val="false"/>
          <w:trHeight w:val="70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7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Copying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Sentence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With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Correct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Spacing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Exhibit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copying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simple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sentences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correct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word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spacing..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B1.3.4.1.1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Copy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short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meaningful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with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correct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spacing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Convention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Usage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Integrating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Written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(Use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Postpositions)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Exhibit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usage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postpositions.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B1.5.5.1.1-3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postposition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such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on,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context.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Recognise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postpositions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short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sentences.</w:t>
            </w:r>
          </w:p>
        </w:tc>
      </w:tr>
      <w:tr>
        <w:tblPrEx/>
        <w:trPr>
          <w:cantSplit w:val="false"/>
          <w:trHeight w:val="719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9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19/6/26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Writing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Convention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&amp;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Usage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Integrating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Grammar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Written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Language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(Spelling)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Exhibit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recognizing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spelling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simple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words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correctly.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B1.5.7.1.1-3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Write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two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letter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correctly.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Write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three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letter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correctly</w:t>
            </w:r>
          </w:p>
        </w:tc>
      </w:tr>
      <w:tr>
        <w:tblPrEx/>
        <w:trPr>
          <w:cantSplit w:val="false"/>
          <w:trHeight w:val="62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26/6/26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Extensive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Building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Love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Culture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Learners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by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reading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short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simple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sentences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made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up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three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four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US" w:eastAsia="en-US"/>
              </w:rPr>
              <w:t>words.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B1.6.1.1.1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about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three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four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1"/>
                <w:highlight w:val="none"/>
                <w:vertAlign w:val="baseline"/>
                <w:em w:val="none"/>
                <w:lang w:val="en-GB" w:eastAsia="en-US"/>
              </w:rPr>
              <w:t>words.</w:t>
            </w:r>
          </w:p>
        </w:tc>
      </w:tr>
      <w:tr>
        <w:tblPrEx/>
        <w:trPr>
          <w:cantSplit w:val="false"/>
          <w:trHeight w:val="755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3/7/26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Extensive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Aptos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Aptos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Aloud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B1.6.2.1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knowledge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by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reading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short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made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they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have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learnt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B1.6.2.1.1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Read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simple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sentences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about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three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four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Aptos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words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REVISION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13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17/7/26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END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TERM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ASSESSMENT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14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23/7/26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VACATION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SBA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ACTIVITIES</w:t>
            </w:r>
          </w:p>
        </w:tc>
      </w:tr>
    </w:tbl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  <w:r>
        <w:rPr>
          <w:rFonts w:ascii="Gill Sans MT" w:cs="宋体" w:eastAsia="Calibri" w:hAnsi="Gill Sans M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eastAsia="en-US"/>
        </w:rPr>
        <w:br w:type="page"/>
      </w:r>
    </w:p>
    <w:p>
      <w:pPr>
        <w:spacing w:after="160" w:lineRule="auto" w:line="259"/>
        <w:jc w:val="center"/>
        <w:rPr/>
      </w:pP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PHYSICAL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EDUCATION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-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THIRD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TERM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SCHEME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OF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Gill Sans MT" w:cs="宋体" w:eastAsia="Calibri" w:hAnsi="Gill Sans M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LEARNING</w:t>
      </w:r>
    </w:p>
    <w:tbl>
      <w:tblPr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44"/>
        <w:gridCol w:w="3969"/>
        <w:gridCol w:w="3402"/>
      </w:tblGrid>
      <w:tr>
        <w:trPr>
          <w:cantSplit w:val="false"/>
          <w:trHeight w:val="79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WEEKS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STRAND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SUB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STRANDS/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CONTENT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/>
                <w:bCs/>
                <w:i w:val="false"/>
                <w:iCs w:val="false"/>
                <w:color w:val="auto"/>
                <w:sz w:val="22"/>
                <w:szCs w:val="24"/>
                <w:highlight w:val="none"/>
                <w:vertAlign w:val="baseline"/>
                <w:em w:val="none"/>
                <w:lang w:val="en-GB" w:eastAsia="en-US"/>
              </w:rPr>
              <w:t>INDICATORS</w:t>
            </w:r>
          </w:p>
        </w:tc>
      </w:tr>
      <w:tr>
        <w:tblPrEx/>
        <w:trPr>
          <w:cantSplit w:val="false"/>
          <w:trHeight w:val="979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24/4/26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Motor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Skill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Movement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Patterns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Locomotive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skills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competence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motor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skills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movement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patterns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needed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perform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variety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activities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(games,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athletics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gymnastics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dance)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B1.1.11.1.14: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Dribble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ball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forward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direction,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using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inside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foot</w:t>
            </w:r>
          </w:p>
        </w:tc>
      </w:tr>
      <w:tr>
        <w:tblPrEx/>
        <w:trPr>
          <w:cantSplit w:val="false"/>
          <w:trHeight w:val="773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30/4/26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Motor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Skill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Movement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Patterns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Manipulative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skills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competence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motor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skills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movement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patterns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needed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perform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variety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activities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(games,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athletics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gymnastics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dance)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B1.1.12.1.15: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Marching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beat(rhythm)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Motor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Skill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Movement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Patterns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Manipulative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skills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competence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motor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skills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movement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patterns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needed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perform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variety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activities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(games,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athletics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gymnastics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dance)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B1.1.12.1.16: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smooth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transition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between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even-beat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uneven-beat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locomotor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skills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response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music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external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beat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4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15/5/26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Motor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Skill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Movement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Patterns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Rhythmic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skills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competence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motor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skills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movement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patterns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needed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perform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variety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activities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(games,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athletics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gymnastics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dance)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B1.1.13.1.17: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Roll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log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form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from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stationary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distance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back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(from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lying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position)</w:t>
            </w:r>
          </w:p>
        </w:tc>
      </w:tr>
      <w:tr>
        <w:tblPrEx/>
        <w:trPr>
          <w:cantSplit w:val="false"/>
          <w:trHeight w:val="88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22/5/26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Motor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Skill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Movement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Patterns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Body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management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movement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concepts,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principles,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strategies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apply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learning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performance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activities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B1.2.4.2.5: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base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support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balanced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objects</w:t>
            </w:r>
          </w:p>
        </w:tc>
      </w:tr>
      <w:tr>
        <w:tblPrEx/>
        <w:trPr>
          <w:cantSplit w:val="false"/>
          <w:trHeight w:val="638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6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29/5/26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Movement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Concepts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Strategies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movement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concepts,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principles,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strategies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apply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learning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performance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activities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B1.2.5.2.6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different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opportunities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use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striking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skills</w:t>
            </w:r>
          </w:p>
        </w:tc>
      </w:tr>
      <w:tr>
        <w:tblPrEx/>
        <w:trPr>
          <w:cantSplit w:val="false"/>
          <w:trHeight w:val="701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7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5/6/26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Fitness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Flexibility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Assess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maintain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level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fitness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improve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health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performance.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B1.3.3.3.4: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Identify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human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body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parts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8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Fitness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Concepts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Substance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fitness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concepts,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principles,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strategies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improve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health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performance.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B1.4.2.4.2: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Recognise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need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drink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water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during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after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activity.</w:t>
            </w:r>
          </w:p>
        </w:tc>
      </w:tr>
      <w:tr>
        <w:tblPrEx/>
        <w:trPr>
          <w:cantSplit w:val="false"/>
          <w:trHeight w:val="719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9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19/6/26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Fitness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Concepts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Body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composition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fitness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concepts,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principles,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strategies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improve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health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performance.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B1.4.3.4.3: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Explain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purpose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warming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up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before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activity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cooling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down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after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activity</w:t>
            </w:r>
          </w:p>
        </w:tc>
      </w:tr>
      <w:tr>
        <w:tblPrEx/>
        <w:trPr>
          <w:cantSplit w:val="false"/>
          <w:trHeight w:val="62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26/6/26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Values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Psycho-Social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Concepts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Group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dynamics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utilize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psychological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sociological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concepts,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principles,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strategies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apply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learning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performance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activity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B1.5.3.5.3: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non-verbal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appreciation.</w:t>
            </w:r>
          </w:p>
        </w:tc>
      </w:tr>
      <w:tr>
        <w:tblPrEx/>
        <w:trPr>
          <w:cantSplit w:val="false"/>
          <w:trHeight w:val="755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11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3/7/26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Values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Psycho-Social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Concepts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Critical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/>
                <w:bCs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thinking</w:t>
            </w:r>
          </w:p>
          <w:p>
            <w:pPr>
              <w:spacing w:after="160" w:lineRule="auto" w:line="256"/>
              <w:ind w:left="720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utilize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knowledge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psychological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sociological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concepts,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principles,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strategies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apply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learning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performance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US" w:eastAsia="en-US"/>
              </w:rPr>
              <w:t>activity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2"/>
                <w:highlight w:val="none"/>
                <w:vertAlign w:val="baseline"/>
                <w:em w:val="none"/>
                <w:lang w:val="en-GB" w:eastAsia="en-US"/>
              </w:rPr>
              <w:t>B1.5.4.5.4:</w:t>
            </w:r>
          </w:p>
          <w:p>
            <w:pPr>
              <w:spacing w:after="160" w:lineRule="auto" w:line="259"/>
              <w:jc w:val="left"/>
              <w:rPr/>
            </w:pP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Demonstrate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how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to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solve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problem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with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another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person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during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physical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Tahoma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0"/>
                <w:szCs w:val="18"/>
                <w:highlight w:val="none"/>
                <w:vertAlign w:val="baseline"/>
                <w:em w:val="none"/>
                <w:lang w:val="en-GB" w:eastAsia="en-US"/>
              </w:rPr>
              <w:t>activity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12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10/7/26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REVISION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13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17/7/26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END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OF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TERM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ASSESSMENT</w:t>
            </w:r>
          </w:p>
        </w:tc>
      </w:tr>
      <w:tr>
        <w:tblPrEx/>
        <w:trPr>
          <w:cantSplit w:val="false"/>
          <w:trHeight w:val="800" w:hRule="atLeast"/>
          <w:tblHeader w:val="false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14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GB" w:eastAsia="en-US"/>
              </w:rPr>
              <w:t>23/7/26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VACATION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AND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SBA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 xml:space="preserve"> </w:t>
            </w:r>
            <w:r>
              <w:rPr>
                <w:rFonts w:ascii="Gill Sans MT" w:cs="宋体" w:eastAsia="Calibri" w:hAnsi="Gill Sans MT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GB" w:eastAsia="en-US"/>
              </w:rPr>
              <w:t>ACTIVITIES</w:t>
            </w:r>
          </w:p>
        </w:tc>
      </w:tr>
    </w:tbl>
    <w:p>
      <w:pPr>
        <w:spacing w:after="160" w:lineRule="auto" w:line="259"/>
        <w:jc w:val="left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Gill Sans M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ahom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howcard Goth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pto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097">
    <w:name w:val="&quot;Default&quot;"/>
    <w:next w:val="style4094"/>
    <w:pPr>
      <w:autoSpaceDE w:val="false"/>
      <w:autoSpaceDN w:val="false"/>
      <w:adjustRightInd w:val="false"/>
      <w:spacing w:before="0" w:after="0" w:lineRule="auto" w:line="240"/>
      <w:ind w:left="0" w:right="0"/>
    </w:pPr>
    <w:rPr>
      <w:rFonts w:ascii="Gill Sans MT" w:cs="Gill Sans MT" w:eastAsia="宋体" w:hAnsi="Gill Sans MT"/>
      <w:color w:val="000000"/>
      <w:sz w:val="24"/>
      <w:szCs w:val="24"/>
      <w:lang w:val="en-US"/>
    </w:rPr>
  </w:style>
  <w:style w:type="character" w:styleId="style87">
    <w:name w:val="Strong"/>
    <w:basedOn w:val="style65"/>
    <w:next w:val="style4094"/>
    <w:qFormat/>
    <w:rPr>
      <w:rFonts w:ascii="Times New Roman" w:cs="Times New Roman" w:eastAsia="宋体" w:hAnsi="Times New Roman"/>
      <w:b/>
      <w:sz w:val="21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4957</Words>
  <Characters>29367</Characters>
  <Application>WPS Office</Application>
  <Paragraphs>1412</Paragraphs>
  <CharactersWithSpaces>33432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2026-04-11T13:57:36Z</dcterms:created>
  <dc:creator>TECNO CK6</dc:creator>
  <lastModifiedBy>TECNO CK6</lastModifiedBy>
  <dcterms:modified xsi:type="dcterms:W3CDTF">2026-04-11T13:57:36Z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8593404efe2f4b04b7e53f5f106833af</vt:lpwstr>
  </property>
</Properties>
</file>